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871" w:rsidRPr="009B07A4" w:rsidRDefault="00277871" w:rsidP="00277871">
      <w:pPr>
        <w:spacing w:line="240" w:lineRule="auto"/>
        <w:contextualSpacing/>
        <w:rPr>
          <w:rFonts w:asciiTheme="majorHAnsi" w:hAnsiTheme="majorHAnsi"/>
          <w:b/>
        </w:rPr>
      </w:pPr>
      <w:r w:rsidRPr="009B07A4">
        <w:rPr>
          <w:rFonts w:asciiTheme="majorHAnsi" w:hAnsiTheme="majorHAnsi"/>
          <w:b/>
        </w:rPr>
        <w:t>Clara Norales</w:t>
      </w:r>
    </w:p>
    <w:p w:rsidR="00277871" w:rsidRPr="009B07A4" w:rsidRDefault="00277871" w:rsidP="00277871">
      <w:pPr>
        <w:spacing w:line="240" w:lineRule="auto"/>
        <w:contextualSpacing/>
        <w:rPr>
          <w:rFonts w:asciiTheme="majorHAnsi" w:hAnsiTheme="majorHAnsi"/>
          <w:b/>
        </w:rPr>
      </w:pPr>
      <w:r w:rsidRPr="009B07A4">
        <w:rPr>
          <w:rFonts w:asciiTheme="majorHAnsi" w:hAnsiTheme="majorHAnsi"/>
          <w:b/>
        </w:rPr>
        <w:t>ED 7201T</w:t>
      </w:r>
    </w:p>
    <w:p w:rsidR="00277871" w:rsidRDefault="00277871" w:rsidP="00277871">
      <w:pPr>
        <w:spacing w:line="240" w:lineRule="auto"/>
        <w:contextualSpacing/>
        <w:rPr>
          <w:rFonts w:asciiTheme="majorHAnsi" w:hAnsiTheme="majorHAnsi"/>
          <w:b/>
        </w:rPr>
      </w:pPr>
      <w:r w:rsidRPr="009B07A4">
        <w:rPr>
          <w:rFonts w:asciiTheme="majorHAnsi" w:hAnsiTheme="majorHAnsi"/>
          <w:b/>
        </w:rPr>
        <w:t>Dr. Sharon A. O’Connor-</w:t>
      </w:r>
      <w:proofErr w:type="spellStart"/>
      <w:r w:rsidRPr="009B07A4">
        <w:rPr>
          <w:rFonts w:asciiTheme="majorHAnsi" w:hAnsiTheme="majorHAnsi"/>
          <w:b/>
        </w:rPr>
        <w:t>Petruso</w:t>
      </w:r>
      <w:proofErr w:type="spellEnd"/>
    </w:p>
    <w:p w:rsidR="00117133" w:rsidRDefault="00117133" w:rsidP="00277871">
      <w:pPr>
        <w:spacing w:line="240" w:lineRule="auto"/>
        <w:contextualSpacing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Wiki 4</w:t>
      </w:r>
    </w:p>
    <w:p w:rsidR="00117133" w:rsidRDefault="00117133" w:rsidP="00277871">
      <w:pPr>
        <w:spacing w:line="240" w:lineRule="auto"/>
        <w:contextualSpacing/>
        <w:rPr>
          <w:rFonts w:asciiTheme="majorHAnsi" w:hAnsiTheme="majorHAnsi"/>
          <w:b/>
        </w:rPr>
      </w:pPr>
    </w:p>
    <w:p w:rsidR="00117133" w:rsidRDefault="00117133" w:rsidP="00117133">
      <w:pPr>
        <w:spacing w:line="240" w:lineRule="auto"/>
        <w:contextualSpacing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Annotated Bibliography</w:t>
      </w:r>
      <w:r>
        <w:rPr>
          <w:rFonts w:asciiTheme="majorHAnsi" w:hAnsiTheme="majorHAnsi"/>
          <w:b/>
          <w:sz w:val="24"/>
          <w:szCs w:val="24"/>
        </w:rPr>
        <w:t xml:space="preserve"> 2</w:t>
      </w:r>
    </w:p>
    <w:p w:rsidR="00117133" w:rsidRDefault="00117133" w:rsidP="00117133">
      <w:pPr>
        <w:spacing w:line="240" w:lineRule="auto"/>
        <w:contextualSpacing/>
        <w:jc w:val="center"/>
        <w:rPr>
          <w:rFonts w:asciiTheme="majorHAnsi" w:hAnsiTheme="majorHAnsi"/>
          <w:b/>
          <w:sz w:val="24"/>
          <w:szCs w:val="24"/>
        </w:rPr>
      </w:pPr>
    </w:p>
    <w:p w:rsidR="00C25BE5" w:rsidRDefault="00117133" w:rsidP="00117133">
      <w:pPr>
        <w:spacing w:line="240" w:lineRule="auto"/>
        <w:contextualSpacing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7. </w:t>
      </w:r>
      <w:r>
        <w:rPr>
          <w:rFonts w:asciiTheme="majorHAnsi" w:hAnsiTheme="majorHAnsi"/>
          <w:sz w:val="24"/>
          <w:szCs w:val="24"/>
        </w:rPr>
        <w:t xml:space="preserve">Lopez, Omar S. (2009). The Digital Learning Classroom: Improving English Language Learners’ academic Success in mathematics and reading using interactive whiteboard technology. </w:t>
      </w:r>
      <w:proofErr w:type="gramStart"/>
      <w:r>
        <w:rPr>
          <w:rFonts w:asciiTheme="majorHAnsi" w:hAnsiTheme="majorHAnsi"/>
          <w:i/>
          <w:sz w:val="24"/>
          <w:szCs w:val="24"/>
        </w:rPr>
        <w:t>Computers &amp; Education.</w:t>
      </w:r>
      <w:proofErr w:type="gramEnd"/>
      <w:r>
        <w:rPr>
          <w:rFonts w:asciiTheme="majorHAnsi" w:hAnsiTheme="majorHAnsi"/>
          <w:i/>
          <w:sz w:val="24"/>
          <w:szCs w:val="24"/>
        </w:rPr>
        <w:t xml:space="preserve"> Volume 54, </w:t>
      </w:r>
      <w:r>
        <w:rPr>
          <w:rFonts w:asciiTheme="majorHAnsi" w:hAnsiTheme="majorHAnsi"/>
          <w:sz w:val="24"/>
          <w:szCs w:val="24"/>
        </w:rPr>
        <w:t>901-915</w:t>
      </w:r>
      <w:r w:rsidR="00C25BE5">
        <w:rPr>
          <w:rFonts w:asciiTheme="majorHAnsi" w:hAnsiTheme="majorHAnsi"/>
          <w:sz w:val="24"/>
          <w:szCs w:val="24"/>
        </w:rPr>
        <w:t>.</w:t>
      </w:r>
    </w:p>
    <w:p w:rsidR="00C25BE5" w:rsidRDefault="00C25BE5" w:rsidP="00117133">
      <w:pPr>
        <w:spacing w:line="240" w:lineRule="auto"/>
        <w:contextualSpacing/>
        <w:rPr>
          <w:rFonts w:asciiTheme="majorHAnsi" w:hAnsiTheme="majorHAnsi"/>
          <w:sz w:val="24"/>
          <w:szCs w:val="24"/>
        </w:rPr>
      </w:pPr>
    </w:p>
    <w:p w:rsidR="00117133" w:rsidRDefault="00C25BE5" w:rsidP="00117133">
      <w:pPr>
        <w:spacing w:line="240" w:lineRule="auto"/>
        <w:contextualSpacing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This study presents the findings on ELL’s improvement while using the interactive whiteboard. An objective of the study was to determine the extent by which the interactive </w:t>
      </w:r>
      <w:proofErr w:type="gramStart"/>
      <w:r>
        <w:rPr>
          <w:rFonts w:asciiTheme="majorHAnsi" w:hAnsiTheme="majorHAnsi"/>
          <w:sz w:val="24"/>
          <w:szCs w:val="24"/>
        </w:rPr>
        <w:t>whiteboard  technology</w:t>
      </w:r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r w:rsidR="00117133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could foster performance parity </w:t>
      </w:r>
      <w:r w:rsidR="00B421F6">
        <w:rPr>
          <w:rFonts w:asciiTheme="majorHAnsi" w:hAnsiTheme="majorHAnsi"/>
          <w:sz w:val="24"/>
          <w:szCs w:val="24"/>
        </w:rPr>
        <w:t>in academic achievement between  ELLs and regular students, in order to reduce the gap between both students’ group.</w:t>
      </w:r>
    </w:p>
    <w:p w:rsidR="00B421F6" w:rsidRDefault="00B421F6" w:rsidP="00117133">
      <w:pPr>
        <w:spacing w:line="240" w:lineRule="auto"/>
        <w:contextualSpacing/>
        <w:rPr>
          <w:rFonts w:asciiTheme="majorHAnsi" w:hAnsiTheme="majorHAnsi"/>
          <w:sz w:val="24"/>
          <w:szCs w:val="24"/>
        </w:rPr>
      </w:pPr>
    </w:p>
    <w:p w:rsidR="00B421F6" w:rsidRDefault="00B421F6" w:rsidP="00117133">
      <w:pPr>
        <w:spacing w:line="240" w:lineRule="auto"/>
        <w:contextualSpacing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8. Green, Timothy. (2005) Using Technology to Help English Language Students Develop Language Skills: A Home and School Connection. </w:t>
      </w:r>
      <w:proofErr w:type="gramStart"/>
      <w:r>
        <w:rPr>
          <w:rFonts w:asciiTheme="majorHAnsi" w:hAnsiTheme="majorHAnsi"/>
          <w:i/>
          <w:sz w:val="24"/>
          <w:szCs w:val="24"/>
        </w:rPr>
        <w:t>Multicultural Education.</w:t>
      </w:r>
      <w:proofErr w:type="gramEnd"/>
      <w:r>
        <w:rPr>
          <w:rFonts w:asciiTheme="majorHAnsi" w:hAnsiTheme="majorHAnsi"/>
          <w:i/>
          <w:sz w:val="24"/>
          <w:szCs w:val="24"/>
        </w:rPr>
        <w:t xml:space="preserve"> Winter 2005</w:t>
      </w:r>
      <w:r w:rsidR="00554F6A">
        <w:rPr>
          <w:rFonts w:asciiTheme="majorHAnsi" w:hAnsiTheme="majorHAnsi"/>
          <w:i/>
          <w:sz w:val="24"/>
          <w:szCs w:val="24"/>
        </w:rPr>
        <w:t>,</w:t>
      </w:r>
      <w:r>
        <w:rPr>
          <w:rFonts w:asciiTheme="majorHAnsi" w:hAnsiTheme="majorHAnsi"/>
          <w:i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56-59.</w:t>
      </w:r>
    </w:p>
    <w:p w:rsidR="00554F6A" w:rsidRDefault="00554F6A" w:rsidP="00117133">
      <w:pPr>
        <w:spacing w:line="240" w:lineRule="auto"/>
        <w:contextualSpacing/>
        <w:rPr>
          <w:rFonts w:asciiTheme="majorHAnsi" w:hAnsiTheme="majorHAnsi"/>
          <w:sz w:val="24"/>
          <w:szCs w:val="24"/>
        </w:rPr>
      </w:pPr>
    </w:p>
    <w:p w:rsidR="00554F6A" w:rsidRDefault="00554F6A" w:rsidP="00117133">
      <w:pPr>
        <w:spacing w:line="240" w:lineRule="auto"/>
        <w:contextualSpacing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This article explores how technology plays an important role in providing students valuable language experiences as they learn a new language. This article focus on how computer assisted instruction (CAI) can be a supplemental teaching tool for teaching ELLs and how such activities can be extended at home creating a home-school relationship. </w:t>
      </w:r>
    </w:p>
    <w:p w:rsidR="00554F6A" w:rsidRDefault="00554F6A" w:rsidP="00117133">
      <w:pPr>
        <w:spacing w:line="240" w:lineRule="auto"/>
        <w:contextualSpacing/>
        <w:rPr>
          <w:rFonts w:asciiTheme="majorHAnsi" w:hAnsiTheme="majorHAnsi"/>
          <w:sz w:val="24"/>
          <w:szCs w:val="24"/>
        </w:rPr>
      </w:pPr>
    </w:p>
    <w:p w:rsidR="009939D8" w:rsidRDefault="00554F6A" w:rsidP="00117133">
      <w:pPr>
        <w:spacing w:line="240" w:lineRule="auto"/>
        <w:contextualSpacing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9. </w:t>
      </w:r>
      <w:proofErr w:type="spellStart"/>
      <w:r w:rsidR="009939D8">
        <w:rPr>
          <w:rFonts w:asciiTheme="majorHAnsi" w:hAnsiTheme="majorHAnsi"/>
          <w:sz w:val="24"/>
          <w:szCs w:val="24"/>
        </w:rPr>
        <w:t>Granoff</w:t>
      </w:r>
      <w:proofErr w:type="spellEnd"/>
      <w:r w:rsidR="009939D8">
        <w:rPr>
          <w:rFonts w:asciiTheme="majorHAnsi" w:hAnsiTheme="majorHAnsi"/>
          <w:sz w:val="24"/>
          <w:szCs w:val="24"/>
        </w:rPr>
        <w:t xml:space="preserve">, S. &amp; Whiting, J. (2010) The Effects of Multimedia Input on Comprehension of a Short Story. </w:t>
      </w:r>
      <w:r w:rsidR="009939D8">
        <w:rPr>
          <w:rFonts w:asciiTheme="majorHAnsi" w:hAnsiTheme="majorHAnsi"/>
          <w:i/>
          <w:sz w:val="24"/>
          <w:szCs w:val="24"/>
        </w:rPr>
        <w:t xml:space="preserve">TESL-EJ: Teaching English as a Second Language or Foreign Language. Volume 14 </w:t>
      </w:r>
      <w:r w:rsidR="009939D8">
        <w:rPr>
          <w:rFonts w:asciiTheme="majorHAnsi" w:hAnsiTheme="majorHAnsi"/>
          <w:sz w:val="24"/>
          <w:szCs w:val="24"/>
        </w:rPr>
        <w:t>(2), 1-10.</w:t>
      </w:r>
    </w:p>
    <w:p w:rsidR="009939D8" w:rsidRDefault="009939D8" w:rsidP="00117133">
      <w:pPr>
        <w:spacing w:line="240" w:lineRule="auto"/>
        <w:contextualSpacing/>
        <w:rPr>
          <w:rFonts w:asciiTheme="majorHAnsi" w:hAnsiTheme="majorHAnsi"/>
          <w:sz w:val="24"/>
          <w:szCs w:val="24"/>
        </w:rPr>
      </w:pPr>
    </w:p>
    <w:p w:rsidR="00554F6A" w:rsidRDefault="009939D8" w:rsidP="00117133">
      <w:pPr>
        <w:spacing w:line="240" w:lineRule="auto"/>
        <w:contextualSpacing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This research examines the effects of traditional input, audio recording and video recordings on second language readers’ comprehension of short stories.  </w:t>
      </w:r>
      <w:r w:rsidR="00081744">
        <w:rPr>
          <w:rFonts w:asciiTheme="majorHAnsi" w:hAnsiTheme="majorHAnsi"/>
          <w:sz w:val="24"/>
          <w:szCs w:val="24"/>
        </w:rPr>
        <w:t xml:space="preserve">The study shows that the effectiveness of the technology input supported the question of how </w:t>
      </w:r>
      <w:proofErr w:type="gramStart"/>
      <w:r w:rsidR="00081744">
        <w:rPr>
          <w:rFonts w:asciiTheme="majorHAnsi" w:hAnsiTheme="majorHAnsi"/>
          <w:sz w:val="24"/>
          <w:szCs w:val="24"/>
        </w:rPr>
        <w:t>technology increase</w:t>
      </w:r>
      <w:proofErr w:type="gramEnd"/>
      <w:r w:rsidR="00081744">
        <w:rPr>
          <w:rFonts w:asciiTheme="majorHAnsi" w:hAnsiTheme="majorHAnsi"/>
          <w:sz w:val="24"/>
          <w:szCs w:val="24"/>
        </w:rPr>
        <w:t xml:space="preserve"> comprehension. Part of the research findings demonstrated that audio and video input were both attractive to readers. Although the audio input did not increase comprehension, the video input did. </w:t>
      </w:r>
      <w:r>
        <w:rPr>
          <w:rFonts w:asciiTheme="majorHAnsi" w:hAnsiTheme="majorHAnsi"/>
          <w:i/>
          <w:sz w:val="24"/>
          <w:szCs w:val="24"/>
        </w:rPr>
        <w:t xml:space="preserve"> </w:t>
      </w:r>
    </w:p>
    <w:p w:rsidR="00081744" w:rsidRDefault="00081744" w:rsidP="00117133">
      <w:pPr>
        <w:spacing w:line="240" w:lineRule="auto"/>
        <w:contextualSpacing/>
        <w:rPr>
          <w:rFonts w:asciiTheme="majorHAnsi" w:hAnsiTheme="majorHAnsi"/>
          <w:i/>
          <w:sz w:val="24"/>
          <w:szCs w:val="24"/>
        </w:rPr>
      </w:pPr>
    </w:p>
    <w:p w:rsidR="00081744" w:rsidRDefault="00081744" w:rsidP="00117133">
      <w:pPr>
        <w:spacing w:line="240" w:lineRule="auto"/>
        <w:contextualSpacing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10. </w:t>
      </w:r>
      <w:r w:rsidR="005A46BD">
        <w:rPr>
          <w:rFonts w:asciiTheme="majorHAnsi" w:hAnsiTheme="majorHAnsi"/>
          <w:sz w:val="24"/>
          <w:szCs w:val="24"/>
        </w:rPr>
        <w:t xml:space="preserve">Higgins, S., Smith, H.J., Wall, K. &amp; Miller, J. (2005). Interactive White Boards: boon or bandwagon? </w:t>
      </w:r>
      <w:proofErr w:type="gramStart"/>
      <w:r w:rsidR="005A46BD">
        <w:rPr>
          <w:rFonts w:asciiTheme="majorHAnsi" w:hAnsiTheme="majorHAnsi"/>
          <w:sz w:val="24"/>
          <w:szCs w:val="24"/>
        </w:rPr>
        <w:t>A critical review of the literature.</w:t>
      </w:r>
      <w:proofErr w:type="gramEnd"/>
      <w:r w:rsidR="005A46BD">
        <w:rPr>
          <w:rFonts w:asciiTheme="majorHAnsi" w:hAnsiTheme="majorHAnsi"/>
          <w:sz w:val="24"/>
          <w:szCs w:val="24"/>
        </w:rPr>
        <w:t xml:space="preserve"> </w:t>
      </w:r>
      <w:r w:rsidR="005A46BD">
        <w:rPr>
          <w:rFonts w:asciiTheme="majorHAnsi" w:hAnsiTheme="majorHAnsi"/>
          <w:i/>
          <w:sz w:val="24"/>
          <w:szCs w:val="24"/>
        </w:rPr>
        <w:t xml:space="preserve">Journal of Computer Assisted Learning. Volume 21, </w:t>
      </w:r>
      <w:r w:rsidR="005A46BD">
        <w:rPr>
          <w:rFonts w:asciiTheme="majorHAnsi" w:hAnsiTheme="majorHAnsi"/>
          <w:sz w:val="24"/>
          <w:szCs w:val="24"/>
        </w:rPr>
        <w:t>91-101.</w:t>
      </w:r>
    </w:p>
    <w:p w:rsidR="005A46BD" w:rsidRDefault="005A46BD" w:rsidP="00117133">
      <w:pPr>
        <w:spacing w:line="240" w:lineRule="auto"/>
        <w:contextualSpacing/>
        <w:rPr>
          <w:rFonts w:asciiTheme="majorHAnsi" w:hAnsiTheme="majorHAnsi"/>
          <w:sz w:val="24"/>
          <w:szCs w:val="24"/>
        </w:rPr>
      </w:pPr>
    </w:p>
    <w:p w:rsidR="005A46BD" w:rsidRDefault="005A46BD" w:rsidP="00117133">
      <w:pPr>
        <w:spacing w:line="240" w:lineRule="auto"/>
        <w:contextualSpacing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This article reviews the literature concerning the introduction of interactive whiteboards (IWBs) i</w:t>
      </w:r>
      <w:r w:rsidR="00E27BAD">
        <w:rPr>
          <w:rFonts w:asciiTheme="majorHAnsi" w:hAnsiTheme="majorHAnsi"/>
          <w:sz w:val="24"/>
          <w:szCs w:val="24"/>
        </w:rPr>
        <w:t xml:space="preserve">n educational settings. The article also shows the benefits of using the IWB for the teachers along with the benefits for the students. The </w:t>
      </w:r>
      <w:proofErr w:type="gramStart"/>
      <w:r w:rsidR="00E27BAD">
        <w:rPr>
          <w:rFonts w:asciiTheme="majorHAnsi" w:hAnsiTheme="majorHAnsi"/>
          <w:sz w:val="24"/>
          <w:szCs w:val="24"/>
        </w:rPr>
        <w:t>article focus</w:t>
      </w:r>
      <w:proofErr w:type="gramEnd"/>
      <w:r w:rsidR="00E27BAD">
        <w:rPr>
          <w:rFonts w:asciiTheme="majorHAnsi" w:hAnsiTheme="majorHAnsi"/>
          <w:sz w:val="24"/>
          <w:szCs w:val="24"/>
        </w:rPr>
        <w:t xml:space="preserve"> on the IWB as a tool, how it support planning and development of resources, </w:t>
      </w:r>
      <w:r w:rsidR="006915C6">
        <w:rPr>
          <w:rFonts w:asciiTheme="majorHAnsi" w:hAnsiTheme="majorHAnsi"/>
          <w:sz w:val="24"/>
          <w:szCs w:val="24"/>
        </w:rPr>
        <w:t xml:space="preserve">how it support learning, and problems and issues while using IWB among others. </w:t>
      </w:r>
    </w:p>
    <w:p w:rsidR="006915C6" w:rsidRDefault="006915C6" w:rsidP="006915C6">
      <w:pPr>
        <w:spacing w:line="240" w:lineRule="auto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11. Rubinstein-Avila, E., Sox, Amanda. (2009). </w:t>
      </w:r>
      <w:proofErr w:type="spellStart"/>
      <w:r>
        <w:rPr>
          <w:rFonts w:asciiTheme="majorHAnsi" w:hAnsiTheme="majorHAnsi"/>
        </w:rPr>
        <w:t>WebQuests</w:t>
      </w:r>
      <w:proofErr w:type="spellEnd"/>
      <w:r>
        <w:rPr>
          <w:rFonts w:asciiTheme="majorHAnsi" w:hAnsiTheme="majorHAnsi"/>
        </w:rPr>
        <w:t xml:space="preserve"> for English Language Learners: Essential Elements for Design. </w:t>
      </w:r>
      <w:proofErr w:type="gramStart"/>
      <w:r>
        <w:rPr>
          <w:rFonts w:asciiTheme="majorHAnsi" w:hAnsiTheme="majorHAnsi"/>
          <w:i/>
        </w:rPr>
        <w:t>Journal of Adolescents and Adult Literacy.</w:t>
      </w:r>
      <w:proofErr w:type="gramEnd"/>
      <w:r>
        <w:rPr>
          <w:rFonts w:asciiTheme="majorHAnsi" w:hAnsiTheme="majorHAnsi"/>
          <w:i/>
        </w:rPr>
        <w:t xml:space="preserve"> 53 </w:t>
      </w:r>
      <w:r>
        <w:rPr>
          <w:rFonts w:asciiTheme="majorHAnsi" w:hAnsiTheme="majorHAnsi"/>
        </w:rPr>
        <w:t>(1), 38-48.</w:t>
      </w:r>
    </w:p>
    <w:p w:rsidR="006915C6" w:rsidRDefault="006915C6" w:rsidP="006915C6">
      <w:pPr>
        <w:spacing w:line="240" w:lineRule="auto"/>
        <w:contextualSpacing/>
        <w:rPr>
          <w:rFonts w:asciiTheme="majorHAnsi" w:hAnsiTheme="majorHAnsi"/>
        </w:rPr>
      </w:pPr>
    </w:p>
    <w:p w:rsidR="006915C6" w:rsidRDefault="006915C6" w:rsidP="006915C6">
      <w:pPr>
        <w:spacing w:line="240" w:lineRule="auto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In this article, the author advocates for the use of </w:t>
      </w:r>
      <w:proofErr w:type="spellStart"/>
      <w:r>
        <w:rPr>
          <w:rFonts w:asciiTheme="majorHAnsi" w:hAnsiTheme="majorHAnsi"/>
        </w:rPr>
        <w:t>WebQuests</w:t>
      </w:r>
      <w:proofErr w:type="spellEnd"/>
      <w:r>
        <w:rPr>
          <w:rFonts w:asciiTheme="majorHAnsi" w:hAnsiTheme="majorHAnsi"/>
        </w:rPr>
        <w:t xml:space="preserve"> in order to </w:t>
      </w:r>
      <w:r w:rsidR="00860BEB">
        <w:rPr>
          <w:rFonts w:asciiTheme="majorHAnsi" w:hAnsiTheme="majorHAnsi"/>
        </w:rPr>
        <w:t xml:space="preserve">integrate technology, content knowledge, and comprehensible input for English Language Learners. </w:t>
      </w:r>
      <w:r w:rsidR="00145091">
        <w:rPr>
          <w:rFonts w:asciiTheme="majorHAnsi" w:hAnsiTheme="majorHAnsi"/>
        </w:rPr>
        <w:t xml:space="preserve">The article explains </w:t>
      </w:r>
      <w:proofErr w:type="gramStart"/>
      <w:r w:rsidR="00145091">
        <w:rPr>
          <w:rFonts w:asciiTheme="majorHAnsi" w:hAnsiTheme="majorHAnsi"/>
        </w:rPr>
        <w:t xml:space="preserve">what is a </w:t>
      </w:r>
      <w:proofErr w:type="spellStart"/>
      <w:r w:rsidR="00145091">
        <w:rPr>
          <w:rFonts w:asciiTheme="majorHAnsi" w:hAnsiTheme="majorHAnsi"/>
        </w:rPr>
        <w:t>WebQuest</w:t>
      </w:r>
      <w:proofErr w:type="spellEnd"/>
      <w:r w:rsidR="00145091">
        <w:rPr>
          <w:rFonts w:asciiTheme="majorHAnsi" w:hAnsiTheme="majorHAnsi"/>
        </w:rPr>
        <w:t xml:space="preserve">, the linguistic, multimedia, and organizational features of a </w:t>
      </w:r>
      <w:proofErr w:type="spellStart"/>
      <w:r w:rsidR="00145091">
        <w:rPr>
          <w:rFonts w:asciiTheme="majorHAnsi" w:hAnsiTheme="majorHAnsi"/>
        </w:rPr>
        <w:t>WebQuest</w:t>
      </w:r>
      <w:proofErr w:type="spellEnd"/>
      <w:r w:rsidR="00145091">
        <w:rPr>
          <w:rFonts w:asciiTheme="majorHAnsi" w:hAnsiTheme="majorHAnsi"/>
        </w:rPr>
        <w:t>,</w:t>
      </w:r>
      <w:proofErr w:type="gramEnd"/>
      <w:r w:rsidR="00145091">
        <w:rPr>
          <w:rFonts w:asciiTheme="majorHAnsi" w:hAnsiTheme="majorHAnsi"/>
        </w:rPr>
        <w:t xml:space="preserve"> and how to design a </w:t>
      </w:r>
      <w:proofErr w:type="spellStart"/>
      <w:r w:rsidR="00145091">
        <w:rPr>
          <w:rFonts w:asciiTheme="majorHAnsi" w:hAnsiTheme="majorHAnsi"/>
        </w:rPr>
        <w:t>WebQuest</w:t>
      </w:r>
      <w:proofErr w:type="spellEnd"/>
      <w:r w:rsidR="00145091">
        <w:rPr>
          <w:rFonts w:asciiTheme="majorHAnsi" w:hAnsiTheme="majorHAnsi"/>
        </w:rPr>
        <w:t xml:space="preserve"> with ELLs in mind among other very helpful information. </w:t>
      </w:r>
    </w:p>
    <w:p w:rsidR="00145091" w:rsidRDefault="00145091" w:rsidP="006915C6">
      <w:pPr>
        <w:spacing w:line="240" w:lineRule="auto"/>
        <w:contextualSpacing/>
        <w:rPr>
          <w:rFonts w:asciiTheme="majorHAnsi" w:hAnsiTheme="majorHAnsi"/>
        </w:rPr>
      </w:pPr>
    </w:p>
    <w:p w:rsidR="00145091" w:rsidRDefault="00145091" w:rsidP="006915C6">
      <w:pPr>
        <w:spacing w:line="240" w:lineRule="auto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12. </w:t>
      </w:r>
      <w:proofErr w:type="spellStart"/>
      <w:r>
        <w:rPr>
          <w:rFonts w:asciiTheme="majorHAnsi" w:hAnsiTheme="majorHAnsi"/>
        </w:rPr>
        <w:t>Warschauer</w:t>
      </w:r>
      <w:proofErr w:type="spellEnd"/>
      <w:r>
        <w:rPr>
          <w:rFonts w:asciiTheme="majorHAnsi" w:hAnsiTheme="majorHAnsi"/>
        </w:rPr>
        <w:t xml:space="preserve">, M. (2007). Laptops and Literacy: Learning in the Wireless Classroom. </w:t>
      </w:r>
      <w:proofErr w:type="gramStart"/>
      <w:r>
        <w:rPr>
          <w:rFonts w:asciiTheme="majorHAnsi" w:hAnsiTheme="majorHAnsi"/>
          <w:i/>
        </w:rPr>
        <w:t xml:space="preserve">Journal of Literacy and </w:t>
      </w:r>
      <w:proofErr w:type="spellStart"/>
      <w:r>
        <w:rPr>
          <w:rFonts w:asciiTheme="majorHAnsi" w:hAnsiTheme="majorHAnsi"/>
          <w:i/>
        </w:rPr>
        <w:t>Technoogy</w:t>
      </w:r>
      <w:proofErr w:type="spellEnd"/>
      <w:r>
        <w:rPr>
          <w:rFonts w:asciiTheme="majorHAnsi" w:hAnsiTheme="majorHAnsi"/>
          <w:i/>
        </w:rPr>
        <w:t>.</w:t>
      </w:r>
      <w:proofErr w:type="gramEnd"/>
      <w:r>
        <w:rPr>
          <w:rFonts w:asciiTheme="majorHAnsi" w:hAnsiTheme="majorHAnsi"/>
          <w:i/>
        </w:rPr>
        <w:t xml:space="preserve"> Volume 8 </w:t>
      </w:r>
      <w:r>
        <w:rPr>
          <w:rFonts w:asciiTheme="majorHAnsi" w:hAnsiTheme="majorHAnsi"/>
        </w:rPr>
        <w:t>(1), 49-53.</w:t>
      </w:r>
    </w:p>
    <w:p w:rsidR="00145091" w:rsidRDefault="00145091" w:rsidP="006915C6">
      <w:pPr>
        <w:spacing w:line="240" w:lineRule="auto"/>
        <w:contextualSpacing/>
        <w:rPr>
          <w:rFonts w:asciiTheme="majorHAnsi" w:hAnsiTheme="majorHAnsi"/>
        </w:rPr>
      </w:pPr>
    </w:p>
    <w:p w:rsidR="00145091" w:rsidRPr="00145091" w:rsidRDefault="00DA7717" w:rsidP="006915C6">
      <w:pPr>
        <w:spacing w:line="240" w:lineRule="auto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>In this book, the author explains how he conducted a two years laptop and literacy study. He also discuss</w:t>
      </w:r>
      <w:r w:rsidR="00316BB8">
        <w:rPr>
          <w:rFonts w:asciiTheme="majorHAnsi" w:hAnsiTheme="majorHAnsi"/>
        </w:rPr>
        <w:t>ed</w:t>
      </w:r>
      <w:r>
        <w:rPr>
          <w:rFonts w:asciiTheme="majorHAnsi" w:hAnsiTheme="majorHAnsi"/>
        </w:rPr>
        <w:t xml:space="preserve"> how software on the laptops </w:t>
      </w:r>
      <w:proofErr w:type="gramStart"/>
      <w:r>
        <w:rPr>
          <w:rFonts w:asciiTheme="majorHAnsi" w:hAnsiTheme="majorHAnsi"/>
        </w:rPr>
        <w:t>are</w:t>
      </w:r>
      <w:proofErr w:type="gramEnd"/>
      <w:r>
        <w:rPr>
          <w:rFonts w:asciiTheme="majorHAnsi" w:hAnsiTheme="majorHAnsi"/>
        </w:rPr>
        <w:t xml:space="preserve"> used to help students reading skills. Pointing out that students</w:t>
      </w:r>
      <w:r w:rsidR="00316BB8">
        <w:rPr>
          <w:rFonts w:asciiTheme="majorHAnsi" w:hAnsiTheme="majorHAnsi"/>
        </w:rPr>
        <w:t>’</w:t>
      </w:r>
      <w:r>
        <w:rPr>
          <w:rFonts w:asciiTheme="majorHAnsi" w:hAnsiTheme="majorHAnsi"/>
        </w:rPr>
        <w:t xml:space="preserve"> involvement is one of the critical factors leading to success in reading. </w:t>
      </w:r>
    </w:p>
    <w:p w:rsidR="006915C6" w:rsidRDefault="006915C6" w:rsidP="006915C6">
      <w:pPr>
        <w:spacing w:line="240" w:lineRule="auto"/>
        <w:contextualSpacing/>
        <w:rPr>
          <w:rFonts w:asciiTheme="majorHAnsi" w:hAnsiTheme="majorHAnsi"/>
        </w:rPr>
      </w:pPr>
    </w:p>
    <w:p w:rsidR="00316BB8" w:rsidRDefault="00316BB8" w:rsidP="006915C6">
      <w:pPr>
        <w:spacing w:line="240" w:lineRule="auto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13. </w:t>
      </w:r>
      <w:proofErr w:type="spellStart"/>
      <w:r>
        <w:rPr>
          <w:rFonts w:asciiTheme="majorHAnsi" w:hAnsiTheme="majorHAnsi"/>
        </w:rPr>
        <w:t>Arslan</w:t>
      </w:r>
      <w:proofErr w:type="spellEnd"/>
      <w:r>
        <w:rPr>
          <w:rFonts w:asciiTheme="majorHAnsi" w:hAnsiTheme="majorHAnsi"/>
        </w:rPr>
        <w:t xml:space="preserve">, R.S., </w:t>
      </w:r>
      <w:proofErr w:type="spellStart"/>
      <w:r>
        <w:rPr>
          <w:rFonts w:asciiTheme="majorHAnsi" w:hAnsiTheme="majorHAnsi"/>
        </w:rPr>
        <w:t>Sahin</w:t>
      </w:r>
      <w:proofErr w:type="spellEnd"/>
      <w:r>
        <w:rPr>
          <w:rFonts w:asciiTheme="majorHAnsi" w:hAnsiTheme="majorHAnsi"/>
        </w:rPr>
        <w:t xml:space="preserve">-Kizil, A. (2010). </w:t>
      </w:r>
      <w:r w:rsidR="00050B84">
        <w:rPr>
          <w:rFonts w:asciiTheme="majorHAnsi" w:hAnsiTheme="majorHAnsi"/>
        </w:rPr>
        <w:t xml:space="preserve">How </w:t>
      </w:r>
      <w:proofErr w:type="gramStart"/>
      <w:r w:rsidR="00050B84">
        <w:rPr>
          <w:rFonts w:asciiTheme="majorHAnsi" w:hAnsiTheme="majorHAnsi"/>
        </w:rPr>
        <w:t>can the use</w:t>
      </w:r>
      <w:proofErr w:type="gramEnd"/>
      <w:r w:rsidR="00050B84">
        <w:rPr>
          <w:rFonts w:asciiTheme="majorHAnsi" w:hAnsiTheme="majorHAnsi"/>
        </w:rPr>
        <w:t xml:space="preserve"> of blog software facilitates the writing process of English Language Learners? </w:t>
      </w:r>
      <w:r w:rsidR="00050B84">
        <w:rPr>
          <w:rFonts w:asciiTheme="majorHAnsi" w:hAnsiTheme="majorHAnsi"/>
          <w:i/>
        </w:rPr>
        <w:t xml:space="preserve">Computer Assisted Language Learning. Volume 23 </w:t>
      </w:r>
      <w:r w:rsidR="00050B84">
        <w:rPr>
          <w:rFonts w:asciiTheme="majorHAnsi" w:hAnsiTheme="majorHAnsi"/>
        </w:rPr>
        <w:t>(3), 183-197.</w:t>
      </w:r>
    </w:p>
    <w:p w:rsidR="00050B84" w:rsidRDefault="00050B84" w:rsidP="006915C6">
      <w:pPr>
        <w:spacing w:line="240" w:lineRule="auto"/>
        <w:contextualSpacing/>
        <w:rPr>
          <w:rFonts w:asciiTheme="majorHAnsi" w:hAnsiTheme="majorHAnsi"/>
        </w:rPr>
      </w:pPr>
    </w:p>
    <w:p w:rsidR="006A4E68" w:rsidRDefault="00050B84" w:rsidP="006915C6">
      <w:pPr>
        <w:spacing w:line="240" w:lineRule="auto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This study is about the effect of blog-centered writing instruction. The study </w:t>
      </w:r>
      <w:r w:rsidR="006A4E68">
        <w:rPr>
          <w:rFonts w:asciiTheme="majorHAnsi" w:hAnsiTheme="majorHAnsi"/>
        </w:rPr>
        <w:t xml:space="preserve">investigates whether the use of blogs enhances writing performance of students by providing opportunities for publishing writing </w:t>
      </w:r>
      <w:r w:rsidR="00427F6F">
        <w:rPr>
          <w:rFonts w:asciiTheme="majorHAnsi" w:hAnsiTheme="majorHAnsi"/>
        </w:rPr>
        <w:t>drafts, rec</w:t>
      </w:r>
      <w:r w:rsidR="006A4E68">
        <w:rPr>
          <w:rFonts w:asciiTheme="majorHAnsi" w:hAnsiTheme="majorHAnsi"/>
        </w:rPr>
        <w:t>eiving feedback</w:t>
      </w:r>
      <w:r w:rsidR="00427F6F">
        <w:rPr>
          <w:rFonts w:asciiTheme="majorHAnsi" w:hAnsiTheme="majorHAnsi"/>
        </w:rPr>
        <w:t xml:space="preserve"> from both the teacher and their friends, enabling them to give feedback to their peers and to see their feedback.</w:t>
      </w:r>
    </w:p>
    <w:p w:rsidR="006A4E68" w:rsidRDefault="006A4E68" w:rsidP="006915C6">
      <w:pPr>
        <w:spacing w:line="240" w:lineRule="auto"/>
        <w:contextualSpacing/>
        <w:rPr>
          <w:rFonts w:asciiTheme="majorHAnsi" w:hAnsiTheme="majorHAnsi"/>
        </w:rPr>
      </w:pPr>
    </w:p>
    <w:p w:rsidR="00050B84" w:rsidRDefault="00427F6F" w:rsidP="006915C6">
      <w:pPr>
        <w:spacing w:line="240" w:lineRule="auto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</w:p>
    <w:p w:rsidR="00117133" w:rsidRPr="009B07A4" w:rsidRDefault="00427F6F" w:rsidP="00117133">
      <w:pPr>
        <w:spacing w:line="240" w:lineRule="auto"/>
        <w:contextualSpacing/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 </w:t>
      </w:r>
      <w:bookmarkStart w:id="0" w:name="_GoBack"/>
      <w:bookmarkEnd w:id="0"/>
    </w:p>
    <w:p w:rsidR="0082663D" w:rsidRDefault="0082663D"/>
    <w:sectPr w:rsidR="008266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D387F"/>
    <w:multiLevelType w:val="hybridMultilevel"/>
    <w:tmpl w:val="1B32A1AA"/>
    <w:lvl w:ilvl="0" w:tplc="8800D4E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871"/>
    <w:rsid w:val="00050B84"/>
    <w:rsid w:val="00081744"/>
    <w:rsid w:val="00117133"/>
    <w:rsid w:val="00145091"/>
    <w:rsid w:val="00277871"/>
    <w:rsid w:val="00316BB8"/>
    <w:rsid w:val="00427F6F"/>
    <w:rsid w:val="00554F6A"/>
    <w:rsid w:val="005A46BD"/>
    <w:rsid w:val="006915C6"/>
    <w:rsid w:val="006A4E68"/>
    <w:rsid w:val="0082663D"/>
    <w:rsid w:val="00860BEB"/>
    <w:rsid w:val="009939D8"/>
    <w:rsid w:val="00B421F6"/>
    <w:rsid w:val="00C25BE5"/>
    <w:rsid w:val="00DA7717"/>
    <w:rsid w:val="00E27BAD"/>
    <w:rsid w:val="00ED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8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71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8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7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8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ClaraG</dc:creator>
  <cp:lastModifiedBy>ClaraG</cp:lastModifiedBy>
  <cp:revision>1</cp:revision>
  <dcterms:created xsi:type="dcterms:W3CDTF">2011-10-18T00:29:00Z</dcterms:created>
  <dcterms:modified xsi:type="dcterms:W3CDTF">2011-10-18T03:53:00Z</dcterms:modified>
</cp:coreProperties>
</file>